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2551"/>
        <w:gridCol w:w="1560"/>
        <w:tblGridChange w:id="0">
          <w:tblGrid>
            <w:gridCol w:w="1276"/>
            <w:gridCol w:w="2551"/>
            <w:gridCol w:w="1560"/>
          </w:tblGrid>
        </w:tblGridChange>
      </w:tblGrid>
      <w:tr w:rsidR="00D2334B" w:rsidRPr="008A2ABA" w14:paraId="7890B224" w14:textId="77777777" w:rsidTr="00D2334B">
        <w:trPr>
          <w:trHeight w:val="1691"/>
          <w:jc w:val="center"/>
        </w:trPr>
        <w:tc>
          <w:tcPr>
            <w:tcW w:w="1276" w:type="dxa"/>
            <w:shd w:val="clear" w:color="auto" w:fill="auto"/>
          </w:tcPr>
          <w:p w14:paraId="27FC5A90" w14:textId="77777777" w:rsidR="00D2334B" w:rsidRPr="003759BE" w:rsidRDefault="00D2334B" w:rsidP="00D2334B">
            <w:pPr>
              <w:snapToGrid w:val="0"/>
              <w:spacing w:after="0"/>
              <w:rPr>
                <w:rFonts w:ascii="Arial Narrow" w:hAnsi="Arial Narrow" w:cs="Arial Narrow"/>
                <w:sz w:val="14"/>
              </w:rPr>
            </w:pPr>
          </w:p>
          <w:p w14:paraId="28466503" w14:textId="2321E445" w:rsidR="00D2334B" w:rsidRPr="008A2ABA" w:rsidRDefault="00D2334B" w:rsidP="00FD04B3">
            <w:r w:rsidRPr="008A2ABA">
              <w:rPr>
                <w:noProof/>
                <w:lang w:eastAsia="zh-CN"/>
              </w:rPr>
              <w:drawing>
                <wp:inline distT="0" distB="0" distL="0" distR="0" wp14:anchorId="230202C9" wp14:editId="5A1621B8">
                  <wp:extent cx="711200" cy="813777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033" cy="8158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9DE1C2" w14:textId="77777777" w:rsidR="00D2334B" w:rsidRPr="008A2ABA" w:rsidRDefault="00D2334B" w:rsidP="00FD04B3">
            <w:pPr>
              <w:snapToGrid w:val="0"/>
              <w:rPr>
                <w:rFonts w:ascii="Arial Narrow" w:hAnsi="Arial Narrow" w:cs="Arial Narrow"/>
                <w:sz w:val="8"/>
              </w:rPr>
            </w:pPr>
          </w:p>
          <w:p w14:paraId="56EA95C2" w14:textId="3EE28FB8" w:rsidR="00D2334B" w:rsidRPr="008A2ABA" w:rsidRDefault="00D2334B" w:rsidP="00FD04B3">
            <w:r w:rsidRPr="008A2ABA">
              <w:rPr>
                <w:rFonts w:ascii="Arial Narrow" w:hAnsi="Arial Narrow" w:cs="Arial Narrow"/>
                <w:noProof/>
                <w:lang w:eastAsia="zh-CN"/>
              </w:rPr>
              <w:drawing>
                <wp:inline distT="0" distB="0" distL="0" distR="0" wp14:anchorId="3D74D886" wp14:editId="07AAC9A3">
                  <wp:extent cx="1442799" cy="527050"/>
                  <wp:effectExtent l="0" t="0" r="508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190" cy="527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14:paraId="506DC038" w14:textId="77777777" w:rsidR="00D2334B" w:rsidRPr="005A44B6" w:rsidRDefault="00D2334B" w:rsidP="00FD04B3">
            <w:pPr>
              <w:snapToGrid w:val="0"/>
              <w:rPr>
                <w:rFonts w:ascii="Arial Narrow" w:hAnsi="Arial Narrow" w:cs="Arial Narrow"/>
                <w:sz w:val="17"/>
                <w:szCs w:val="17"/>
              </w:rPr>
            </w:pPr>
            <w:r w:rsidRPr="008A2ABA">
              <w:rPr>
                <w:rFonts w:ascii="Arial Narrow" w:hAnsi="Arial Narrow" w:cs="Arial Narrow"/>
                <w:sz w:val="12"/>
              </w:rPr>
              <w:t xml:space="preserve"> </w:t>
            </w:r>
            <w:r w:rsidRPr="005A44B6">
              <w:rPr>
                <w:rFonts w:ascii="Arial Narrow" w:hAnsi="Arial Narrow" w:cs="Arial Narrow"/>
                <w:sz w:val="14"/>
                <w:szCs w:val="14"/>
              </w:rPr>
              <w:t xml:space="preserve">              </w:t>
            </w:r>
            <w:r w:rsidRPr="005A44B6">
              <w:rPr>
                <w:rFonts w:ascii="Arial Narrow" w:hAnsi="Arial Narrow" w:cs="Arial Narrow"/>
                <w:sz w:val="17"/>
                <w:szCs w:val="17"/>
              </w:rPr>
              <w:t xml:space="preserve">                                                                             </w:t>
            </w:r>
          </w:p>
          <w:p w14:paraId="4151C21D" w14:textId="1D73FC9D" w:rsidR="00D2334B" w:rsidRPr="008A2ABA" w:rsidRDefault="00D2334B" w:rsidP="00FD04B3">
            <w:pPr>
              <w:snapToGrid w:val="0"/>
            </w:pPr>
            <w:r w:rsidRPr="008A2ABA">
              <w:rPr>
                <w:rFonts w:ascii="Arial Narrow" w:hAnsi="Arial Narrow" w:cs="Arial Narrow"/>
                <w:noProof/>
                <w:lang w:eastAsia="zh-CN"/>
              </w:rPr>
              <w:drawing>
                <wp:inline distT="0" distB="0" distL="0" distR="0" wp14:anchorId="46A366D1" wp14:editId="4BB4683A">
                  <wp:extent cx="855796" cy="5969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90" cy="598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1BA03C" w14:textId="607B1784" w:rsidR="00801BC4" w:rsidRPr="00801BC4" w:rsidRDefault="00AC7840" w:rsidP="009F6858">
      <w:pPr>
        <w:jc w:val="center"/>
        <w:rPr>
          <w:noProof/>
          <w:sz w:val="24"/>
          <w:szCs w:val="24"/>
          <w:lang w:eastAsia="lv-LV"/>
        </w:rPr>
      </w:pPr>
      <w:r w:rsidRPr="00DF32B6">
        <w:rPr>
          <w:b/>
          <w:sz w:val="32"/>
          <w:szCs w:val="24"/>
        </w:rPr>
        <w:t>Eiropas</w:t>
      </w:r>
      <w:r w:rsidR="00F61481" w:rsidRPr="00DF32B6">
        <w:rPr>
          <w:b/>
          <w:sz w:val="32"/>
          <w:szCs w:val="24"/>
        </w:rPr>
        <w:t xml:space="preserve"> </w:t>
      </w:r>
      <w:r w:rsidR="00F21DFA" w:rsidRPr="00DF32B6">
        <w:rPr>
          <w:b/>
          <w:sz w:val="32"/>
          <w:szCs w:val="24"/>
        </w:rPr>
        <w:t>informācijas diena</w:t>
      </w:r>
    </w:p>
    <w:p w14:paraId="0952C0DB" w14:textId="597CBA06" w:rsidR="00921AA0" w:rsidRDefault="00921AA0" w:rsidP="00B309FB">
      <w:pPr>
        <w:spacing w:after="0" w:line="240" w:lineRule="auto"/>
        <w:jc w:val="both"/>
      </w:pPr>
      <w:r>
        <w:t>Norises laiks: 201</w:t>
      </w:r>
      <w:r w:rsidR="007B37CF">
        <w:t>7</w:t>
      </w:r>
      <w:r>
        <w:t xml:space="preserve">. gada </w:t>
      </w:r>
      <w:r w:rsidR="007B37CF">
        <w:t>7</w:t>
      </w:r>
      <w:r w:rsidR="00F21DFA">
        <w:t>. aprīlī</w:t>
      </w:r>
      <w:r>
        <w:t xml:space="preserve">, </w:t>
      </w:r>
      <w:r w:rsidR="00F21DFA">
        <w:t>10</w:t>
      </w:r>
      <w:r>
        <w:t>:</w:t>
      </w:r>
      <w:r w:rsidR="00F21DFA">
        <w:t>0</w:t>
      </w:r>
      <w:r>
        <w:t>0 – 1</w:t>
      </w:r>
      <w:r w:rsidR="00F21DFA">
        <w:t>5</w:t>
      </w:r>
      <w:r>
        <w:t>:</w:t>
      </w:r>
      <w:r w:rsidR="00F21DFA">
        <w:t>3</w:t>
      </w:r>
      <w:r>
        <w:t>0</w:t>
      </w:r>
    </w:p>
    <w:p w14:paraId="46BD3A05" w14:textId="77777777" w:rsidR="00921AA0" w:rsidRDefault="00921AA0" w:rsidP="00B309FB">
      <w:pPr>
        <w:spacing w:after="0" w:line="240" w:lineRule="auto"/>
        <w:jc w:val="both"/>
      </w:pPr>
      <w:r>
        <w:t xml:space="preserve">Norises vieta: </w:t>
      </w:r>
      <w:r w:rsidR="00F21DFA">
        <w:t>Eiropas Savienības mājas kamīna zāle, 2. stāvs</w:t>
      </w:r>
      <w:r w:rsidR="00B6576D">
        <w:t>, Rīga</w:t>
      </w:r>
      <w:r w:rsidR="00B309FB">
        <w:t xml:space="preserve"> </w:t>
      </w:r>
    </w:p>
    <w:p w14:paraId="6467AEF3" w14:textId="77777777" w:rsidR="00B309FB" w:rsidRDefault="00B309FB" w:rsidP="00B309FB">
      <w:pPr>
        <w:spacing w:after="0" w:line="240" w:lineRule="auto"/>
        <w:jc w:val="both"/>
      </w:pPr>
    </w:p>
    <w:tbl>
      <w:tblPr>
        <w:tblStyle w:val="TableGrid"/>
        <w:tblW w:w="9180" w:type="dxa"/>
        <w:tblInd w:w="-176" w:type="dxa"/>
        <w:tblLook w:val="04A0" w:firstRow="1" w:lastRow="0" w:firstColumn="1" w:lastColumn="0" w:noHBand="0" w:noVBand="1"/>
      </w:tblPr>
      <w:tblGrid>
        <w:gridCol w:w="851"/>
        <w:gridCol w:w="8329"/>
      </w:tblGrid>
      <w:tr w:rsidR="007F4CC6" w14:paraId="36E49EE1" w14:textId="77777777" w:rsidTr="00D309DF">
        <w:tc>
          <w:tcPr>
            <w:tcW w:w="851" w:type="dxa"/>
          </w:tcPr>
          <w:p w14:paraId="78AF9802" w14:textId="77777777" w:rsidR="007F4CC6" w:rsidRDefault="007F4CC6" w:rsidP="00921AA0">
            <w:pPr>
              <w:jc w:val="both"/>
            </w:pPr>
            <w:r>
              <w:t>9:30</w:t>
            </w:r>
          </w:p>
        </w:tc>
        <w:tc>
          <w:tcPr>
            <w:tcW w:w="8329" w:type="dxa"/>
          </w:tcPr>
          <w:p w14:paraId="681DE56C" w14:textId="77777777" w:rsidR="007F4CC6" w:rsidRDefault="007F4CC6" w:rsidP="00921AA0">
            <w:pPr>
              <w:jc w:val="both"/>
            </w:pPr>
            <w:r>
              <w:t>Reģistrācija, rīta kafija</w:t>
            </w:r>
          </w:p>
          <w:p w14:paraId="03678EF9" w14:textId="77777777" w:rsidR="008D045F" w:rsidRDefault="008D045F" w:rsidP="00921AA0">
            <w:pPr>
              <w:jc w:val="both"/>
            </w:pPr>
          </w:p>
        </w:tc>
      </w:tr>
      <w:tr w:rsidR="00F22FCF" w14:paraId="2E9C9F2B" w14:textId="77777777" w:rsidTr="00D309DF">
        <w:tc>
          <w:tcPr>
            <w:tcW w:w="851" w:type="dxa"/>
          </w:tcPr>
          <w:p w14:paraId="299991CE" w14:textId="49930DEF" w:rsidR="00F22FCF" w:rsidRPr="00D14CBA" w:rsidRDefault="00F22FCF" w:rsidP="00921AA0">
            <w:pPr>
              <w:jc w:val="both"/>
            </w:pPr>
            <w:r w:rsidRPr="00D14CBA">
              <w:t>10:00</w:t>
            </w:r>
          </w:p>
        </w:tc>
        <w:tc>
          <w:tcPr>
            <w:tcW w:w="8329" w:type="dxa"/>
          </w:tcPr>
          <w:p w14:paraId="669A7CFC" w14:textId="77777777" w:rsidR="00D14CBA" w:rsidRPr="00D14CBA" w:rsidRDefault="00D14CBA" w:rsidP="00921AA0">
            <w:pPr>
              <w:jc w:val="both"/>
            </w:pPr>
            <w:r w:rsidRPr="00D14CBA">
              <w:t>Foruma sākums</w:t>
            </w:r>
          </w:p>
          <w:p w14:paraId="183CE0A3" w14:textId="38F7F885" w:rsidR="00F22FCF" w:rsidRPr="00D14CBA" w:rsidRDefault="00AD68D0" w:rsidP="00D14CBA">
            <w:pPr>
              <w:jc w:val="both"/>
            </w:pPr>
            <w:r w:rsidRPr="00AD68D0">
              <w:t xml:space="preserve">Forumu vada </w:t>
            </w:r>
            <w:r w:rsidR="00F22FCF" w:rsidRPr="00D14CBA">
              <w:rPr>
                <w:b/>
              </w:rPr>
              <w:t>Andris Gobiņš</w:t>
            </w:r>
            <w:r w:rsidR="00F22FCF" w:rsidRPr="00D14CBA">
              <w:t>, Eiropas Kustība Latvijā prezidents</w:t>
            </w:r>
          </w:p>
          <w:p w14:paraId="037B5C9D" w14:textId="24923661" w:rsidR="00D14CBA" w:rsidRPr="00D14CBA" w:rsidRDefault="00D14CBA" w:rsidP="00D14CBA">
            <w:pPr>
              <w:jc w:val="both"/>
            </w:pPr>
          </w:p>
        </w:tc>
      </w:tr>
      <w:tr w:rsidR="007F4CC6" w14:paraId="2239404C" w14:textId="77777777" w:rsidTr="00D309DF">
        <w:tc>
          <w:tcPr>
            <w:tcW w:w="851" w:type="dxa"/>
          </w:tcPr>
          <w:p w14:paraId="7BAFEEF5" w14:textId="176632E8" w:rsidR="007F4CC6" w:rsidRDefault="007F4CC6" w:rsidP="002009DC">
            <w:pPr>
              <w:jc w:val="both"/>
            </w:pPr>
            <w:r>
              <w:t>10:</w:t>
            </w:r>
            <w:r w:rsidR="002009DC">
              <w:t>05</w:t>
            </w:r>
          </w:p>
        </w:tc>
        <w:tc>
          <w:tcPr>
            <w:tcW w:w="8329" w:type="dxa"/>
          </w:tcPr>
          <w:p w14:paraId="1D24A541" w14:textId="3CAA0238" w:rsidR="007B37CF" w:rsidRPr="00867AC8" w:rsidRDefault="00F21DFA" w:rsidP="00921AA0">
            <w:pPr>
              <w:jc w:val="both"/>
              <w:rPr>
                <w:b/>
              </w:rPr>
            </w:pPr>
            <w:r w:rsidRPr="00867AC8">
              <w:rPr>
                <w:b/>
              </w:rPr>
              <w:t xml:space="preserve">Informācijas dienas </w:t>
            </w:r>
            <w:r w:rsidR="007F4CC6" w:rsidRPr="00867AC8">
              <w:rPr>
                <w:b/>
              </w:rPr>
              <w:t>atklāšana</w:t>
            </w:r>
            <w:r w:rsidR="007B37CF" w:rsidRPr="00867AC8">
              <w:rPr>
                <w:b/>
              </w:rPr>
              <w:t xml:space="preserve">s panelis </w:t>
            </w:r>
            <w:r w:rsidR="00FF0918">
              <w:rPr>
                <w:b/>
              </w:rPr>
              <w:t xml:space="preserve">– tiešraide </w:t>
            </w:r>
            <w:hyperlink r:id="rId8" w:history="1">
              <w:r w:rsidR="00FF0918" w:rsidRPr="00D32AE5">
                <w:rPr>
                  <w:rStyle w:val="Hyperlink"/>
                  <w:b/>
                </w:rPr>
                <w:t>www.esmaja.lv</w:t>
              </w:r>
            </w:hyperlink>
            <w:r w:rsidR="00FF0918">
              <w:rPr>
                <w:b/>
              </w:rPr>
              <w:t xml:space="preserve"> un </w:t>
            </w:r>
            <w:hyperlink r:id="rId9" w:history="1">
              <w:r w:rsidR="00FF0918" w:rsidRPr="00D32AE5">
                <w:rPr>
                  <w:rStyle w:val="Hyperlink"/>
                  <w:b/>
                </w:rPr>
                <w:t>www.tvnet.lv</w:t>
              </w:r>
            </w:hyperlink>
            <w:r w:rsidR="00FF0918">
              <w:rPr>
                <w:b/>
              </w:rPr>
              <w:t xml:space="preserve"> </w:t>
            </w:r>
          </w:p>
          <w:p w14:paraId="6D790AB9" w14:textId="0AE393A0" w:rsidR="007B37CF" w:rsidRPr="00867AC8" w:rsidRDefault="00B51309" w:rsidP="00921AA0">
            <w:pPr>
              <w:jc w:val="both"/>
              <w:rPr>
                <w:b/>
              </w:rPr>
            </w:pPr>
            <w:r>
              <w:rPr>
                <w:b/>
              </w:rPr>
              <w:t>Eiropas nākotne un p</w:t>
            </w:r>
            <w:r w:rsidR="007B37CF" w:rsidRPr="00867AC8">
              <w:rPr>
                <w:b/>
              </w:rPr>
              <w:t>ieci E</w:t>
            </w:r>
            <w:r w:rsidR="00EB4270">
              <w:rPr>
                <w:b/>
              </w:rPr>
              <w:t xml:space="preserve">iropas </w:t>
            </w:r>
            <w:r w:rsidR="007B37CF" w:rsidRPr="00867AC8">
              <w:rPr>
                <w:b/>
              </w:rPr>
              <w:t>S</w:t>
            </w:r>
            <w:r w:rsidR="00EB4270">
              <w:rPr>
                <w:b/>
              </w:rPr>
              <w:t>avienības (ES)</w:t>
            </w:r>
            <w:r w:rsidR="007B37CF" w:rsidRPr="00867AC8">
              <w:rPr>
                <w:b/>
              </w:rPr>
              <w:t xml:space="preserve"> attīstības scenāri</w:t>
            </w:r>
            <w:r w:rsidR="00F22FCF" w:rsidRPr="00867AC8">
              <w:rPr>
                <w:b/>
              </w:rPr>
              <w:t>ji</w:t>
            </w:r>
            <w:r w:rsidR="007B37CF" w:rsidRPr="00867AC8">
              <w:rPr>
                <w:b/>
              </w:rPr>
              <w:t xml:space="preserve"> –</w:t>
            </w:r>
            <w:r w:rsidR="00BE4C01">
              <w:rPr>
                <w:b/>
              </w:rPr>
              <w:t xml:space="preserve"> </w:t>
            </w:r>
            <w:r w:rsidR="007B37CF" w:rsidRPr="00867AC8">
              <w:rPr>
                <w:b/>
              </w:rPr>
              <w:t>Latvijas intereses, iespējas, riski</w:t>
            </w:r>
          </w:p>
          <w:p w14:paraId="4881210D" w14:textId="04B27DAB" w:rsidR="00801BC4" w:rsidRDefault="00801BC4" w:rsidP="00921AA0">
            <w:pPr>
              <w:jc w:val="both"/>
            </w:pPr>
          </w:p>
          <w:p w14:paraId="6C618561" w14:textId="77777777" w:rsidR="00B94C26" w:rsidRDefault="00B94C26" w:rsidP="00B94C26">
            <w:pPr>
              <w:jc w:val="both"/>
              <w:rPr>
                <w:rFonts w:ascii="Calibri" w:hAnsi="Calibri"/>
              </w:rPr>
            </w:pPr>
            <w:r w:rsidRPr="008837E6">
              <w:rPr>
                <w:rFonts w:ascii="Calibri" w:hAnsi="Calibri"/>
                <w:b/>
              </w:rPr>
              <w:t>Edgars Rinkēvičs</w:t>
            </w:r>
            <w:r w:rsidRPr="00D12951">
              <w:rPr>
                <w:rFonts w:ascii="Calibri" w:hAnsi="Calibri"/>
              </w:rPr>
              <w:t>, Latvijas ārlietu ministr</w:t>
            </w:r>
            <w:r>
              <w:rPr>
                <w:rFonts w:ascii="Calibri" w:hAnsi="Calibri"/>
              </w:rPr>
              <w:t>s</w:t>
            </w:r>
          </w:p>
          <w:p w14:paraId="3B235406" w14:textId="4B1EA197" w:rsidR="00545DCE" w:rsidRDefault="00545DCE" w:rsidP="00545DC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Krišjānis Kariņš</w:t>
            </w:r>
            <w:r>
              <w:rPr>
                <w:rFonts w:ascii="Calibri" w:hAnsi="Calibri"/>
              </w:rPr>
              <w:t>, Eiropas Parlamenta</w:t>
            </w:r>
            <w:r w:rsidRPr="004038E8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deputāts</w:t>
            </w:r>
          </w:p>
          <w:p w14:paraId="5CEF161B" w14:textId="656CAE8D" w:rsidR="00B94C26" w:rsidRDefault="00B94C26" w:rsidP="00B94C26">
            <w:pPr>
              <w:jc w:val="both"/>
            </w:pPr>
            <w:r>
              <w:rPr>
                <w:b/>
              </w:rPr>
              <w:t>Inna Šteinbuka</w:t>
            </w:r>
            <w:r w:rsidRPr="002D07F9">
              <w:t xml:space="preserve">, Eiropas Komisijas pārstāvniecības </w:t>
            </w:r>
            <w:r w:rsidR="00EB4270">
              <w:t xml:space="preserve">Latvijā </w:t>
            </w:r>
            <w:r w:rsidRPr="002D07F9">
              <w:t>vadītāja</w:t>
            </w:r>
          </w:p>
          <w:p w14:paraId="10EFCF05" w14:textId="09E02833" w:rsidR="00F22FCF" w:rsidRDefault="00F22FCF" w:rsidP="00921AA0">
            <w:pPr>
              <w:jc w:val="both"/>
            </w:pPr>
            <w:r>
              <w:t xml:space="preserve">Diskusiju vada: </w:t>
            </w:r>
            <w:r w:rsidR="00C21657" w:rsidRPr="00A903E5">
              <w:rPr>
                <w:b/>
              </w:rPr>
              <w:t>Žaneta Ozoliņa</w:t>
            </w:r>
            <w:r w:rsidR="003605DE" w:rsidRPr="003605DE">
              <w:t>, Latvijas Universitātes profesore, izdevuma “Latvijas intereses Eiropas Savienībā</w:t>
            </w:r>
            <w:r w:rsidR="00EB4270">
              <w:t>”</w:t>
            </w:r>
            <w:r w:rsidR="00C21657" w:rsidRPr="003605DE">
              <w:rPr>
                <w:rFonts w:ascii="Calibri" w:hAnsi="Calibri"/>
              </w:rPr>
              <w:t xml:space="preserve"> </w:t>
            </w:r>
            <w:r w:rsidR="003605DE">
              <w:rPr>
                <w:rFonts w:ascii="Calibri" w:hAnsi="Calibri"/>
              </w:rPr>
              <w:t>galvenā redaktore</w:t>
            </w:r>
          </w:p>
          <w:p w14:paraId="4E8BB9AD" w14:textId="77777777" w:rsidR="00801BC4" w:rsidRDefault="00801BC4" w:rsidP="00921AA0">
            <w:pPr>
              <w:jc w:val="both"/>
            </w:pPr>
          </w:p>
          <w:p w14:paraId="2C088709" w14:textId="7457171C" w:rsidR="00C21657" w:rsidRDefault="00EB4270" w:rsidP="00921AA0">
            <w:pPr>
              <w:jc w:val="both"/>
            </w:pPr>
            <w:r>
              <w:t>Eiropas Komisijas priekšsēdētāja</w:t>
            </w:r>
            <w:r w:rsidR="00C21657">
              <w:t xml:space="preserve"> Ž.K. </w:t>
            </w:r>
            <w:r w:rsidR="00F22FCF" w:rsidRPr="00F22FCF">
              <w:t>Junkera piedāvāt</w:t>
            </w:r>
            <w:r w:rsidR="00C21657">
              <w:t>ie</w:t>
            </w:r>
            <w:r w:rsidR="00F22FCF" w:rsidRPr="00F22FCF">
              <w:t xml:space="preserve"> ES attīstības scenāriji</w:t>
            </w:r>
            <w:r>
              <w:t xml:space="preserve"> </w:t>
            </w:r>
            <w:r w:rsidR="00C21657">
              <w:t>bija pamats 25. m</w:t>
            </w:r>
            <w:r>
              <w:t>arta Romas līgumu 60. gadadienas deklarācijai</w:t>
            </w:r>
            <w:r w:rsidR="00C21657">
              <w:t xml:space="preserve">. Eiropas Parlamentā nesen </w:t>
            </w:r>
            <w:r>
              <w:t xml:space="preserve">tika </w:t>
            </w:r>
            <w:r w:rsidR="00C21657">
              <w:t xml:space="preserve">apstiprināti trīs nozīmīgi ziņojumi par Eiropas Savienības nākotni. </w:t>
            </w:r>
            <w:r w:rsidR="003C5D47">
              <w:t xml:space="preserve">Kādi ar Eiropas nākotni saistīti jautājumi šobrīd būtu jārisina dažādās ES darbības jomās? </w:t>
            </w:r>
            <w:r w:rsidR="00BE4C01">
              <w:t xml:space="preserve">Kādā veidā un laika periodā notiks vienošanās par nākotnes modeli?  </w:t>
            </w:r>
            <w:r w:rsidR="00C21657">
              <w:t>Ku</w:t>
            </w:r>
            <w:r w:rsidR="00BE4C01">
              <w:t>r</w:t>
            </w:r>
            <w:r w:rsidR="00C21657">
              <w:t>š variants ir ticamākais</w:t>
            </w:r>
            <w:r w:rsidR="00BE4C01">
              <w:t>?</w:t>
            </w:r>
            <w:r w:rsidR="00C21657">
              <w:t xml:space="preserve"> </w:t>
            </w:r>
            <w:r w:rsidR="00BE4C01">
              <w:t>K</w:t>
            </w:r>
            <w:r w:rsidR="00C21657">
              <w:t>as vislabāk atbilst Latvijas interesēm? No kā jāuzmanās un jāizvairās</w:t>
            </w:r>
            <w:r w:rsidR="00BE4C01">
              <w:t xml:space="preserve"> katrā modeļa variantā</w:t>
            </w:r>
            <w:r w:rsidR="00C21657">
              <w:t>? Kā arī par ko šobrīd būtu intensīvi jā</w:t>
            </w:r>
            <w:r w:rsidR="00BE4C01">
              <w:t>iestājas</w:t>
            </w:r>
            <w:r w:rsidR="00C21657">
              <w:t>?</w:t>
            </w:r>
            <w:r w:rsidR="008E5C7B">
              <w:t xml:space="preserve"> </w:t>
            </w:r>
          </w:p>
          <w:p w14:paraId="5619B7E2" w14:textId="77777777" w:rsidR="0035577B" w:rsidRDefault="0035577B" w:rsidP="00921AA0">
            <w:pPr>
              <w:jc w:val="both"/>
            </w:pPr>
          </w:p>
          <w:p w14:paraId="33B03869" w14:textId="61F40229" w:rsidR="0035577B" w:rsidRDefault="0035577B" w:rsidP="00921AA0">
            <w:pPr>
              <w:jc w:val="both"/>
            </w:pPr>
            <w:r>
              <w:t>Diskusijas laikā izmantojam jauno interaktīvo pieeju - sli.do - rīku, kas ļauj tiešsaistē uzdot jautājumus auditorijai/noskaidrot viedokļus/balsot</w:t>
            </w:r>
          </w:p>
          <w:p w14:paraId="6123FB1A" w14:textId="77777777" w:rsidR="00016656" w:rsidRDefault="00016656" w:rsidP="00C21657">
            <w:pPr>
              <w:jc w:val="both"/>
            </w:pPr>
          </w:p>
          <w:p w14:paraId="61C01D84" w14:textId="0C183E84" w:rsidR="00FF0918" w:rsidRDefault="00FF0918" w:rsidP="00C21657">
            <w:pPr>
              <w:jc w:val="both"/>
            </w:pPr>
            <w:r>
              <w:t>Tiešraides beigas.</w:t>
            </w:r>
            <w:bookmarkStart w:id="1" w:name="_GoBack"/>
            <w:bookmarkEnd w:id="1"/>
          </w:p>
        </w:tc>
      </w:tr>
      <w:tr w:rsidR="00514763" w14:paraId="77327029" w14:textId="77777777" w:rsidTr="003E7CF4">
        <w:tc>
          <w:tcPr>
            <w:tcW w:w="851" w:type="dxa"/>
          </w:tcPr>
          <w:p w14:paraId="0E887B1F" w14:textId="5317DF55" w:rsidR="00514763" w:rsidRDefault="00514763" w:rsidP="00514763">
            <w:pPr>
              <w:jc w:val="both"/>
            </w:pPr>
            <w:r>
              <w:t>11:30</w:t>
            </w:r>
          </w:p>
        </w:tc>
        <w:tc>
          <w:tcPr>
            <w:tcW w:w="8329" w:type="dxa"/>
          </w:tcPr>
          <w:p w14:paraId="6BF36051" w14:textId="6A789510" w:rsidR="00514763" w:rsidRDefault="00AB06D3" w:rsidP="00AB06D3">
            <w:pPr>
              <w:jc w:val="both"/>
              <w:rPr>
                <w:b/>
              </w:rPr>
            </w:pPr>
            <w:r w:rsidRPr="00AB06D3">
              <w:rPr>
                <w:b/>
              </w:rPr>
              <w:t>Kristīne Našeniece</w:t>
            </w:r>
            <w:r w:rsidRPr="00AB06D3">
              <w:t>,</w:t>
            </w:r>
            <w:r w:rsidRPr="00AB06D3">
              <w:tab/>
              <w:t>Ārlietu ministrija</w:t>
            </w:r>
            <w:r w:rsidRPr="00AB06D3">
              <w:t xml:space="preserve">s </w:t>
            </w:r>
            <w:r w:rsidRPr="00AB06D3">
              <w:t>Eiropas Savienības koordinācijas un</w:t>
            </w:r>
            <w:r w:rsidRPr="00AB06D3">
              <w:t xml:space="preserve"> politiku departamenta direktore</w:t>
            </w:r>
            <w:r w:rsidR="00B737E2" w:rsidRPr="00AB06D3">
              <w:t>:</w:t>
            </w:r>
            <w:r w:rsidR="00801BC4">
              <w:rPr>
                <w:b/>
              </w:rPr>
              <w:t xml:space="preserve"> </w:t>
            </w:r>
            <w:r w:rsidR="00514763">
              <w:rPr>
                <w:b/>
              </w:rPr>
              <w:t xml:space="preserve">“breksits” – </w:t>
            </w:r>
            <w:r w:rsidR="000E256B">
              <w:rPr>
                <w:b/>
              </w:rPr>
              <w:t xml:space="preserve">scenāriji, </w:t>
            </w:r>
            <w:r w:rsidR="00514763">
              <w:rPr>
                <w:b/>
              </w:rPr>
              <w:t>nozīme, norise, plānotais laika grafiks</w:t>
            </w:r>
          </w:p>
          <w:p w14:paraId="24E819CC" w14:textId="595AD76F" w:rsidR="00D14CBA" w:rsidRPr="00867AC8" w:rsidRDefault="00D14CBA" w:rsidP="003E7CF4">
            <w:pPr>
              <w:jc w:val="both"/>
              <w:rPr>
                <w:b/>
              </w:rPr>
            </w:pPr>
          </w:p>
        </w:tc>
      </w:tr>
      <w:tr w:rsidR="002009DC" w14:paraId="6F336D75" w14:textId="77777777" w:rsidTr="00D309DF">
        <w:tc>
          <w:tcPr>
            <w:tcW w:w="851" w:type="dxa"/>
          </w:tcPr>
          <w:p w14:paraId="6282A099" w14:textId="405F2B3F" w:rsidR="002009DC" w:rsidRDefault="002009DC" w:rsidP="00514763">
            <w:pPr>
              <w:jc w:val="both"/>
            </w:pPr>
            <w:r>
              <w:t>11:</w:t>
            </w:r>
            <w:r w:rsidR="00514763">
              <w:t>50</w:t>
            </w:r>
          </w:p>
        </w:tc>
        <w:tc>
          <w:tcPr>
            <w:tcW w:w="8329" w:type="dxa"/>
          </w:tcPr>
          <w:p w14:paraId="75417A07" w14:textId="78025C58" w:rsidR="002009DC" w:rsidRDefault="00F8198F" w:rsidP="004139A8">
            <w:pPr>
              <w:jc w:val="both"/>
              <w:rPr>
                <w:b/>
              </w:rPr>
            </w:pPr>
            <w:r>
              <w:rPr>
                <w:b/>
              </w:rPr>
              <w:t>Jānis Sārts</w:t>
            </w:r>
            <w:r w:rsidRPr="00F8198F">
              <w:t xml:space="preserve">, </w:t>
            </w:r>
            <w:r w:rsidR="000E256B" w:rsidRPr="00F8198F">
              <w:t xml:space="preserve">NATO </w:t>
            </w:r>
            <w:r w:rsidR="00E7303F" w:rsidRPr="00F8198F">
              <w:t xml:space="preserve">Stratēģiskās komunikācijas </w:t>
            </w:r>
            <w:r w:rsidR="000E256B" w:rsidRPr="00F8198F">
              <w:t>izcilības centr</w:t>
            </w:r>
            <w:r>
              <w:t>a direktors</w:t>
            </w:r>
            <w:r w:rsidR="00801BC4" w:rsidRPr="00F8198F">
              <w:t>:</w:t>
            </w:r>
            <w:r w:rsidR="00801BC4">
              <w:rPr>
                <w:b/>
              </w:rPr>
              <w:t xml:space="preserve"> </w:t>
            </w:r>
            <w:r w:rsidR="00B737E2">
              <w:rPr>
                <w:b/>
              </w:rPr>
              <w:t>j</w:t>
            </w:r>
            <w:r w:rsidR="002009DC">
              <w:rPr>
                <w:b/>
              </w:rPr>
              <w:t>aunākie izaicinājumi un iestrādes darbā ar viltus ziņām</w:t>
            </w:r>
            <w:r w:rsidR="00C913CF">
              <w:rPr>
                <w:b/>
              </w:rPr>
              <w:t xml:space="preserve"> un propagandu</w:t>
            </w:r>
          </w:p>
          <w:p w14:paraId="4857E686" w14:textId="7886A92F" w:rsidR="00D14CBA" w:rsidRPr="00867AC8" w:rsidRDefault="00D14CBA" w:rsidP="004139A8">
            <w:pPr>
              <w:jc w:val="both"/>
              <w:rPr>
                <w:b/>
              </w:rPr>
            </w:pPr>
          </w:p>
        </w:tc>
      </w:tr>
      <w:tr w:rsidR="002009DC" w14:paraId="535788F5" w14:textId="77777777" w:rsidTr="00D309DF">
        <w:tc>
          <w:tcPr>
            <w:tcW w:w="851" w:type="dxa"/>
          </w:tcPr>
          <w:p w14:paraId="09647A4E" w14:textId="2658AD95" w:rsidR="002009DC" w:rsidRDefault="002009DC" w:rsidP="00514763">
            <w:pPr>
              <w:jc w:val="both"/>
            </w:pPr>
            <w:r>
              <w:t>1</w:t>
            </w:r>
            <w:r w:rsidR="00327926">
              <w:t>2</w:t>
            </w:r>
            <w:r>
              <w:t>:</w:t>
            </w:r>
            <w:r w:rsidR="00514763">
              <w:t>20</w:t>
            </w:r>
          </w:p>
        </w:tc>
        <w:tc>
          <w:tcPr>
            <w:tcW w:w="8329" w:type="dxa"/>
          </w:tcPr>
          <w:p w14:paraId="4C3231DF" w14:textId="77777777" w:rsidR="002009DC" w:rsidRDefault="002009DC" w:rsidP="00C21657">
            <w:pPr>
              <w:jc w:val="both"/>
            </w:pPr>
            <w:r>
              <w:t>Pusdienas</w:t>
            </w:r>
          </w:p>
          <w:p w14:paraId="46695E68" w14:textId="276E6C22" w:rsidR="002009DC" w:rsidRDefault="002009DC" w:rsidP="00AC7840">
            <w:pPr>
              <w:jc w:val="both"/>
            </w:pPr>
          </w:p>
        </w:tc>
      </w:tr>
      <w:tr w:rsidR="002009DC" w14:paraId="63305BE2" w14:textId="77777777" w:rsidTr="00D309DF">
        <w:tc>
          <w:tcPr>
            <w:tcW w:w="851" w:type="dxa"/>
          </w:tcPr>
          <w:p w14:paraId="602DFC4A" w14:textId="52FDCC6D" w:rsidR="002009DC" w:rsidRDefault="002009DC" w:rsidP="00514763">
            <w:pPr>
              <w:jc w:val="both"/>
            </w:pPr>
            <w:r>
              <w:t>1</w:t>
            </w:r>
            <w:r w:rsidR="00514763">
              <w:t>3</w:t>
            </w:r>
            <w:r>
              <w:t>:10</w:t>
            </w:r>
          </w:p>
        </w:tc>
        <w:tc>
          <w:tcPr>
            <w:tcW w:w="8329" w:type="dxa"/>
          </w:tcPr>
          <w:p w14:paraId="177D7B48" w14:textId="44DA3BA5" w:rsidR="002009DC" w:rsidRDefault="002009DC" w:rsidP="00F21DFA">
            <w:pPr>
              <w:jc w:val="both"/>
              <w:rPr>
                <w:b/>
              </w:rPr>
            </w:pPr>
            <w:r>
              <w:rPr>
                <w:b/>
              </w:rPr>
              <w:t>Eiropas dienas informācija</w:t>
            </w:r>
            <w:r w:rsidR="00ED17AB">
              <w:rPr>
                <w:b/>
              </w:rPr>
              <w:t xml:space="preserve">s birža </w:t>
            </w:r>
            <w:r w:rsidR="000E3EF0">
              <w:rPr>
                <w:b/>
              </w:rPr>
              <w:t>–</w:t>
            </w:r>
            <w:r w:rsidR="00ED17AB">
              <w:rPr>
                <w:b/>
              </w:rPr>
              <w:t xml:space="preserve"> stendi</w:t>
            </w:r>
            <w:r w:rsidR="000E3EF0">
              <w:rPr>
                <w:b/>
              </w:rPr>
              <w:t>, sarunas, praktiska informācija, aktivitāšu paraugi</w:t>
            </w:r>
            <w:r w:rsidR="00ED17AB">
              <w:rPr>
                <w:b/>
              </w:rPr>
              <w:t xml:space="preserve"> </w:t>
            </w:r>
          </w:p>
          <w:p w14:paraId="5F348231" w14:textId="631A7FCE" w:rsidR="002009DC" w:rsidRDefault="002009DC" w:rsidP="00F21DFA">
            <w:pPr>
              <w:jc w:val="both"/>
              <w:rPr>
                <w:b/>
              </w:rPr>
            </w:pPr>
            <w:r w:rsidRPr="005A6A82">
              <w:t>Īpašais fokuss:</w:t>
            </w:r>
            <w:r>
              <w:rPr>
                <w:b/>
              </w:rPr>
              <w:t xml:space="preserve"> </w:t>
            </w:r>
            <w:r>
              <w:t>ESIP/EDIC u.c. informācijas sniedzēj</w:t>
            </w:r>
            <w:r w:rsidR="00ED17AB">
              <w:t>u</w:t>
            </w:r>
            <w:r>
              <w:t xml:space="preserve"> iespējas līdzdarboties/piedalīties/palīdzēt</w:t>
            </w:r>
            <w:r w:rsidR="00ED17AB">
              <w:t>.</w:t>
            </w:r>
            <w:r w:rsidR="00D12951">
              <w:t xml:space="preserve"> </w:t>
            </w:r>
          </w:p>
          <w:p w14:paraId="28F27720" w14:textId="032F0B2D" w:rsidR="002009DC" w:rsidRDefault="000E3EF0" w:rsidP="00F21DFA">
            <w:pPr>
              <w:jc w:val="both"/>
              <w:rPr>
                <w:b/>
              </w:rPr>
            </w:pPr>
            <w:r>
              <w:rPr>
                <w:b/>
              </w:rPr>
              <w:t>Stendi:</w:t>
            </w:r>
          </w:p>
          <w:p w14:paraId="7FEA46AB" w14:textId="3ECC75D8" w:rsidR="006F3D1B" w:rsidRDefault="00D12951" w:rsidP="00DB360D">
            <w:pPr>
              <w:pStyle w:val="ListParagraph"/>
              <w:numPr>
                <w:ilvl w:val="0"/>
                <w:numId w:val="7"/>
              </w:numPr>
              <w:jc w:val="both"/>
            </w:pPr>
            <w:r w:rsidRPr="006F3D1B">
              <w:rPr>
                <w:b/>
              </w:rPr>
              <w:t>Ā</w:t>
            </w:r>
            <w:r w:rsidR="00E845AB">
              <w:rPr>
                <w:b/>
              </w:rPr>
              <w:t xml:space="preserve">rlietu ministrijas </w:t>
            </w:r>
            <w:r w:rsidRPr="006F3D1B">
              <w:rPr>
                <w:b/>
              </w:rPr>
              <w:t>koordinēti</w:t>
            </w:r>
            <w:r w:rsidR="00B544D8">
              <w:rPr>
                <w:b/>
              </w:rPr>
              <w:t>e</w:t>
            </w:r>
            <w:r w:rsidRPr="006F3D1B">
              <w:rPr>
                <w:b/>
              </w:rPr>
              <w:t xml:space="preserve"> pasākumi</w:t>
            </w:r>
            <w:r w:rsidR="00B544D8">
              <w:rPr>
                <w:b/>
              </w:rPr>
              <w:t>, t.sk. atvērto durvju diena ĀM</w:t>
            </w:r>
            <w:r>
              <w:t xml:space="preserve">. </w:t>
            </w:r>
            <w:r w:rsidR="006F3D1B">
              <w:t xml:space="preserve">Edgars </w:t>
            </w:r>
            <w:r w:rsidR="006F3D1B" w:rsidRPr="009125F6">
              <w:t>Kaktiņš</w:t>
            </w:r>
            <w:r w:rsidR="006F3D1B" w:rsidRPr="009125F6">
              <w:rPr>
                <w:rFonts w:cstheme="minorHAnsi"/>
              </w:rPr>
              <w:t xml:space="preserve"> </w:t>
            </w:r>
            <w:r w:rsidR="00875B57" w:rsidRPr="009125F6">
              <w:rPr>
                <w:rFonts w:cstheme="minorHAnsi"/>
              </w:rPr>
              <w:t>un</w:t>
            </w:r>
            <w:r w:rsidR="00875B57">
              <w:rPr>
                <w:rFonts w:cstheme="minorHAnsi"/>
                <w:sz w:val="18"/>
              </w:rPr>
              <w:t xml:space="preserve"> </w:t>
            </w:r>
            <w:r w:rsidR="00875B57">
              <w:t>Kristīne Iosava</w:t>
            </w:r>
            <w:r w:rsidRPr="006F3D1B">
              <w:t>, Ārlietu ministr</w:t>
            </w:r>
            <w:r>
              <w:t xml:space="preserve">ijas </w:t>
            </w:r>
            <w:r w:rsidR="00DB360D">
              <w:t>k</w:t>
            </w:r>
            <w:r w:rsidR="00DB360D" w:rsidRPr="00DB360D">
              <w:t>omunikācijas direkcija</w:t>
            </w:r>
            <w:r w:rsidR="00DB360D">
              <w:t>s</w:t>
            </w:r>
            <w:r w:rsidR="00DB360D" w:rsidRPr="00DB360D">
              <w:t xml:space="preserve"> </w:t>
            </w:r>
            <w:r w:rsidR="00875B57">
              <w:t>projektu</w:t>
            </w:r>
            <w:r w:rsidR="006F3D1B">
              <w:t xml:space="preserve"> grupa</w:t>
            </w:r>
            <w:r w:rsidR="000E3EF0">
              <w:t>;</w:t>
            </w:r>
          </w:p>
          <w:p w14:paraId="75EB3349" w14:textId="44D1B7A9" w:rsidR="00D12951" w:rsidRPr="00C47D0B" w:rsidRDefault="00E845AB" w:rsidP="00E845AB">
            <w:pPr>
              <w:pStyle w:val="ListParagraph"/>
              <w:numPr>
                <w:ilvl w:val="0"/>
                <w:numId w:val="7"/>
              </w:numPr>
              <w:jc w:val="both"/>
            </w:pPr>
            <w:r w:rsidRPr="00E845AB">
              <w:rPr>
                <w:b/>
              </w:rPr>
              <w:t>EP Vēstnieku skolu programma visā Latvijā</w:t>
            </w:r>
            <w:r w:rsidR="00D12951" w:rsidRPr="006F3D1B">
              <w:t xml:space="preserve">. Marta Rībele, </w:t>
            </w:r>
            <w:r w:rsidR="00D12951" w:rsidRPr="00C47D0B">
              <w:t>Eiropas Parlamenta informācijas biroja vadītāja</w:t>
            </w:r>
            <w:r w:rsidR="000E3EF0">
              <w:t>;</w:t>
            </w:r>
          </w:p>
          <w:p w14:paraId="67E2EF11" w14:textId="4890BA5F" w:rsidR="00D12951" w:rsidRPr="00C47D0B" w:rsidRDefault="002009DC" w:rsidP="00F30976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47D0B">
              <w:rPr>
                <w:b/>
              </w:rPr>
              <w:lastRenderedPageBreak/>
              <w:t>Eiropas dienas galvenās ziņas, aicinājumi, pasākumi, piedāvājumi</w:t>
            </w:r>
            <w:r w:rsidR="00F30976">
              <w:rPr>
                <w:b/>
              </w:rPr>
              <w:t xml:space="preserve">, t.sk. </w:t>
            </w:r>
            <w:r w:rsidR="00F30976" w:rsidRPr="006F3D1B">
              <w:rPr>
                <w:b/>
              </w:rPr>
              <w:t>Eiropas atvērto durvju diena</w:t>
            </w:r>
            <w:r w:rsidR="00374F2A">
              <w:rPr>
                <w:b/>
              </w:rPr>
              <w:t xml:space="preserve"> </w:t>
            </w:r>
            <w:r w:rsidR="00374F2A" w:rsidRPr="00374F2A">
              <w:t xml:space="preserve">(šogad piedalās: </w:t>
            </w:r>
            <w:r w:rsidR="00374F2A">
              <w:t>ES māja, vēstniecības, bet arī ES finansēti objekti Rīgā un reģionos</w:t>
            </w:r>
            <w:r w:rsidR="00374F2A" w:rsidRPr="00374F2A">
              <w:t>)</w:t>
            </w:r>
            <w:r w:rsidR="00F30976">
              <w:rPr>
                <w:b/>
              </w:rPr>
              <w:t>,</w:t>
            </w:r>
            <w:r w:rsidR="00F30976" w:rsidRPr="00C47D0B">
              <w:rPr>
                <w:b/>
              </w:rPr>
              <w:t xml:space="preserve"> Eiropas pieccīņa</w:t>
            </w:r>
            <w:r w:rsidR="00F30976">
              <w:rPr>
                <w:b/>
              </w:rPr>
              <w:t xml:space="preserve"> un </w:t>
            </w:r>
            <w:r w:rsidR="00F30976" w:rsidRPr="00C47D0B">
              <w:rPr>
                <w:b/>
              </w:rPr>
              <w:t>Eiropas dienas koncerts</w:t>
            </w:r>
            <w:r w:rsidR="00D12951" w:rsidRPr="00C47D0B">
              <w:t xml:space="preserve">. </w:t>
            </w:r>
            <w:r w:rsidR="00187725">
              <w:t xml:space="preserve">Kristīne Liepiņa un </w:t>
            </w:r>
            <w:r w:rsidR="00D12951" w:rsidRPr="00C47D0B">
              <w:t>Jeļena Ābola,</w:t>
            </w:r>
            <w:r w:rsidR="00D12951" w:rsidRPr="00C47D0B">
              <w:rPr>
                <w:b/>
                <w:sz w:val="18"/>
              </w:rPr>
              <w:t xml:space="preserve"> </w:t>
            </w:r>
            <w:r w:rsidR="00D12951" w:rsidRPr="00C47D0B">
              <w:t>Eiropas Komisijas pārstāvniecīb</w:t>
            </w:r>
            <w:r w:rsidR="00187725">
              <w:t>as komunikācijas nodaļ</w:t>
            </w:r>
            <w:r w:rsidR="00D12951" w:rsidRPr="00C47D0B">
              <w:t>a</w:t>
            </w:r>
            <w:r w:rsidR="000E3EF0">
              <w:t>;</w:t>
            </w:r>
            <w:r w:rsidRPr="00C47D0B">
              <w:t xml:space="preserve"> </w:t>
            </w:r>
          </w:p>
          <w:p w14:paraId="588C618D" w14:textId="6D0AAA1D" w:rsidR="00D12951" w:rsidRPr="00C47D0B" w:rsidRDefault="00D12951" w:rsidP="00D12951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47D0B">
              <w:rPr>
                <w:b/>
              </w:rPr>
              <w:t>Atpakaļ uz skolu</w:t>
            </w:r>
            <w:r w:rsidRPr="00C47D0B">
              <w:t>. Eduards Gaušis, Klubs “Māja” –</w:t>
            </w:r>
            <w:r w:rsidR="000E3EF0">
              <w:t xml:space="preserve"> </w:t>
            </w:r>
            <w:r w:rsidRPr="00C47D0B">
              <w:t>jaunatne vienotai Eiropai</w:t>
            </w:r>
            <w:r w:rsidR="000E3EF0">
              <w:t>;</w:t>
            </w:r>
          </w:p>
          <w:p w14:paraId="3C40E1E5" w14:textId="4D2D0D53" w:rsidR="00D12951" w:rsidRPr="00C47D0B" w:rsidRDefault="00D12951" w:rsidP="00C21657">
            <w:pPr>
              <w:pStyle w:val="ListParagraph"/>
              <w:numPr>
                <w:ilvl w:val="0"/>
                <w:numId w:val="7"/>
              </w:numPr>
              <w:jc w:val="both"/>
            </w:pPr>
            <w:r w:rsidRPr="00C47D0B">
              <w:rPr>
                <w:b/>
              </w:rPr>
              <w:t>Mobilais zināšanu ekspresis, Eiropas Eksāmens</w:t>
            </w:r>
            <w:r w:rsidRPr="00C47D0B">
              <w:t xml:space="preserve">. </w:t>
            </w:r>
            <w:r w:rsidR="002009DC" w:rsidRPr="00C47D0B">
              <w:t>Andris Gobiņš, Eiropas Kustības Latvijā prezidents</w:t>
            </w:r>
            <w:r w:rsidR="000E3EF0">
              <w:t>.</w:t>
            </w:r>
          </w:p>
          <w:p w14:paraId="4D021019" w14:textId="13E9327B" w:rsidR="004236E7" w:rsidRDefault="004236E7" w:rsidP="000E3EF0">
            <w:pPr>
              <w:jc w:val="both"/>
              <w:rPr>
                <w:b/>
              </w:rPr>
            </w:pPr>
          </w:p>
        </w:tc>
      </w:tr>
      <w:tr w:rsidR="002009DC" w14:paraId="7C5830C1" w14:textId="77777777" w:rsidTr="00D309DF">
        <w:tc>
          <w:tcPr>
            <w:tcW w:w="851" w:type="dxa"/>
          </w:tcPr>
          <w:p w14:paraId="0F238725" w14:textId="62D4492F" w:rsidR="002009DC" w:rsidRDefault="002009DC" w:rsidP="00334557">
            <w:pPr>
              <w:jc w:val="both"/>
            </w:pPr>
            <w:r>
              <w:lastRenderedPageBreak/>
              <w:t>1</w:t>
            </w:r>
            <w:r w:rsidR="00334557">
              <w:t>4</w:t>
            </w:r>
            <w:r>
              <w:t>:</w:t>
            </w:r>
            <w:r w:rsidR="00334557">
              <w:t>1</w:t>
            </w:r>
            <w:r>
              <w:t>0</w:t>
            </w:r>
          </w:p>
        </w:tc>
        <w:tc>
          <w:tcPr>
            <w:tcW w:w="8329" w:type="dxa"/>
          </w:tcPr>
          <w:p w14:paraId="2C5D54FF" w14:textId="77777777" w:rsidR="000E3EF0" w:rsidRDefault="005C3152" w:rsidP="00334557">
            <w:pPr>
              <w:jc w:val="both"/>
            </w:pPr>
            <w:r w:rsidRPr="0041526B">
              <w:rPr>
                <w:b/>
              </w:rPr>
              <w:t>Ziņas un informācijas viltošana</w:t>
            </w:r>
            <w:r w:rsidR="00BC2EB3" w:rsidRPr="0041526B">
              <w:rPr>
                <w:b/>
              </w:rPr>
              <w:t xml:space="preserve"> un</w:t>
            </w:r>
            <w:r w:rsidR="004139A8" w:rsidRPr="0041526B">
              <w:rPr>
                <w:b/>
              </w:rPr>
              <w:t xml:space="preserve"> </w:t>
            </w:r>
            <w:r w:rsidRPr="0041526B">
              <w:rPr>
                <w:b/>
              </w:rPr>
              <w:t>manipulācijas tehnikas</w:t>
            </w:r>
            <w:r w:rsidR="004139A8" w:rsidRPr="0041526B">
              <w:rPr>
                <w:b/>
              </w:rPr>
              <w:t xml:space="preserve"> </w:t>
            </w:r>
            <w:r w:rsidR="00BC2EB3" w:rsidRPr="0041526B">
              <w:rPr>
                <w:b/>
              </w:rPr>
              <w:t>– praktiskā nodarbība</w:t>
            </w:r>
            <w:r w:rsidR="000E3EF0">
              <w:t xml:space="preserve"> </w:t>
            </w:r>
          </w:p>
          <w:p w14:paraId="0F7F9D1A" w14:textId="2BBE1F38" w:rsidR="004139A8" w:rsidRDefault="000E3EF0" w:rsidP="00334557">
            <w:pPr>
              <w:jc w:val="both"/>
            </w:pPr>
            <w:r>
              <w:t>N</w:t>
            </w:r>
            <w:r w:rsidR="00C913CF">
              <w:t xml:space="preserve">orise </w:t>
            </w:r>
            <w:r>
              <w:t xml:space="preserve">tiek </w:t>
            </w:r>
            <w:r w:rsidR="00C913CF">
              <w:t xml:space="preserve">veidota tā, </w:t>
            </w:r>
            <w:r w:rsidR="00537FB9">
              <w:t>ka to iespējams izmantot kā paraugu nodarbīb</w:t>
            </w:r>
            <w:r w:rsidR="00462749">
              <w:t>ām</w:t>
            </w:r>
            <w:r w:rsidR="00BC2EB3">
              <w:t xml:space="preserve"> ar jauniešiem </w:t>
            </w:r>
          </w:p>
          <w:p w14:paraId="4C399210" w14:textId="65B635D2" w:rsidR="002009DC" w:rsidRDefault="000D2ED9" w:rsidP="000D2ED9">
            <w:pPr>
              <w:jc w:val="both"/>
            </w:pPr>
            <w:r w:rsidRPr="000D2ED9">
              <w:rPr>
                <w:b/>
              </w:rPr>
              <w:t>Solvita Denisa-Liepniece</w:t>
            </w:r>
            <w:r>
              <w:t>,</w:t>
            </w:r>
            <w:r>
              <w:rPr>
                <w:b/>
              </w:rPr>
              <w:t xml:space="preserve"> </w:t>
            </w:r>
            <w:r w:rsidR="005C3152" w:rsidRPr="005C3152">
              <w:t>Vidzemes augstskolas d</w:t>
            </w:r>
            <w:r w:rsidR="005C3152">
              <w:t>o</w:t>
            </w:r>
            <w:r w:rsidR="005C3152" w:rsidRPr="005C3152">
              <w:t>cente, Baltijas mediju izcilības centra konsultante mediju pratības jomā un</w:t>
            </w:r>
            <w:r w:rsidR="005C3152">
              <w:rPr>
                <w:b/>
              </w:rPr>
              <w:t xml:space="preserve"> </w:t>
            </w:r>
            <w:r w:rsidR="005C3152">
              <w:t>p</w:t>
            </w:r>
            <w:r w:rsidRPr="002C581C">
              <w:t>rojekta “P</w:t>
            </w:r>
            <w:r>
              <w:t>ilna doma” satura izstrādātāja</w:t>
            </w:r>
            <w:r w:rsidRPr="002C581C">
              <w:t xml:space="preserve"> </w:t>
            </w:r>
          </w:p>
          <w:p w14:paraId="61044858" w14:textId="0AB3CBDC" w:rsidR="004236E7" w:rsidRDefault="004236E7" w:rsidP="000D2ED9">
            <w:pPr>
              <w:jc w:val="both"/>
              <w:rPr>
                <w:b/>
              </w:rPr>
            </w:pPr>
          </w:p>
        </w:tc>
      </w:tr>
      <w:tr w:rsidR="002009DC" w14:paraId="0676F3B4" w14:textId="77777777" w:rsidTr="00D309DF">
        <w:tc>
          <w:tcPr>
            <w:tcW w:w="851" w:type="dxa"/>
          </w:tcPr>
          <w:p w14:paraId="76A6F76D" w14:textId="139296F4" w:rsidR="002009DC" w:rsidRDefault="002009DC" w:rsidP="00217FE7">
            <w:pPr>
              <w:jc w:val="both"/>
            </w:pPr>
            <w:r>
              <w:t>15:20</w:t>
            </w:r>
          </w:p>
        </w:tc>
        <w:tc>
          <w:tcPr>
            <w:tcW w:w="8329" w:type="dxa"/>
          </w:tcPr>
          <w:p w14:paraId="2EA2AB3F" w14:textId="4B3F2790" w:rsidR="002009DC" w:rsidRDefault="002009DC" w:rsidP="00555314">
            <w:pPr>
              <w:jc w:val="both"/>
              <w:rPr>
                <w:b/>
              </w:rPr>
            </w:pPr>
            <w:r>
              <w:rPr>
                <w:b/>
              </w:rPr>
              <w:t>Tēmas rudens ES informācijas sniedzēju forumam, izvērtēšana un dienas noslēgums</w:t>
            </w:r>
          </w:p>
          <w:p w14:paraId="7E6F149E" w14:textId="23D88CB1" w:rsidR="002009DC" w:rsidRDefault="002009DC" w:rsidP="004139A8">
            <w:pPr>
              <w:jc w:val="both"/>
              <w:rPr>
                <w:b/>
              </w:rPr>
            </w:pPr>
          </w:p>
        </w:tc>
      </w:tr>
      <w:tr w:rsidR="002009DC" w14:paraId="47C85BEC" w14:textId="77777777" w:rsidTr="00D309DF">
        <w:tc>
          <w:tcPr>
            <w:tcW w:w="851" w:type="dxa"/>
          </w:tcPr>
          <w:p w14:paraId="61C5C482" w14:textId="77777777" w:rsidR="002009DC" w:rsidRDefault="002009DC" w:rsidP="00962C23">
            <w:pPr>
              <w:jc w:val="both"/>
            </w:pPr>
            <w:r>
              <w:t>15:30</w:t>
            </w:r>
          </w:p>
        </w:tc>
        <w:tc>
          <w:tcPr>
            <w:tcW w:w="8329" w:type="dxa"/>
          </w:tcPr>
          <w:p w14:paraId="31906335" w14:textId="77777777" w:rsidR="002009DC" w:rsidRDefault="002009DC" w:rsidP="00C075BB">
            <w:pPr>
              <w:jc w:val="both"/>
              <w:rPr>
                <w:b/>
              </w:rPr>
            </w:pPr>
            <w:r>
              <w:rPr>
                <w:b/>
              </w:rPr>
              <w:t>Eiropas informācijas dienas beigas</w:t>
            </w:r>
          </w:p>
          <w:p w14:paraId="7B109F9E" w14:textId="3E0F0EFC" w:rsidR="002009DC" w:rsidRPr="002B6E48" w:rsidRDefault="002009DC" w:rsidP="00C075BB">
            <w:pPr>
              <w:jc w:val="both"/>
              <w:rPr>
                <w:b/>
              </w:rPr>
            </w:pPr>
          </w:p>
        </w:tc>
      </w:tr>
    </w:tbl>
    <w:p w14:paraId="6C7B3962" w14:textId="77777777" w:rsidR="00090C91" w:rsidRDefault="00090C91" w:rsidP="00563CBD">
      <w:pPr>
        <w:pStyle w:val="ListParagraph"/>
        <w:ind w:left="0"/>
        <w:jc w:val="both"/>
        <w:rPr>
          <w:sz w:val="16"/>
          <w:szCs w:val="16"/>
        </w:rPr>
      </w:pPr>
    </w:p>
    <w:sectPr w:rsidR="00090C91" w:rsidSect="00090C9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E0B"/>
    <w:multiLevelType w:val="hybridMultilevel"/>
    <w:tmpl w:val="3E7EC6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0105"/>
    <w:multiLevelType w:val="hybridMultilevel"/>
    <w:tmpl w:val="A01CF3E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505B4"/>
    <w:multiLevelType w:val="hybridMultilevel"/>
    <w:tmpl w:val="650010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D6355"/>
    <w:multiLevelType w:val="hybridMultilevel"/>
    <w:tmpl w:val="8034C6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94136"/>
    <w:multiLevelType w:val="hybridMultilevel"/>
    <w:tmpl w:val="0A4C6C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95643"/>
    <w:multiLevelType w:val="hybridMultilevel"/>
    <w:tmpl w:val="874623A4"/>
    <w:lvl w:ilvl="0" w:tplc="D668E20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14788"/>
    <w:multiLevelType w:val="hybridMultilevel"/>
    <w:tmpl w:val="A84A92C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100"/>
    <w:rsid w:val="00016656"/>
    <w:rsid w:val="00020E0B"/>
    <w:rsid w:val="00053505"/>
    <w:rsid w:val="00057A5D"/>
    <w:rsid w:val="00061BDC"/>
    <w:rsid w:val="00063593"/>
    <w:rsid w:val="000762EB"/>
    <w:rsid w:val="00090C91"/>
    <w:rsid w:val="00092B10"/>
    <w:rsid w:val="00093AFA"/>
    <w:rsid w:val="000956D8"/>
    <w:rsid w:val="000970C6"/>
    <w:rsid w:val="000B3DAC"/>
    <w:rsid w:val="000D0D4C"/>
    <w:rsid w:val="000D2ED9"/>
    <w:rsid w:val="000E03B1"/>
    <w:rsid w:val="000E256B"/>
    <w:rsid w:val="000E3EF0"/>
    <w:rsid w:val="000F67FC"/>
    <w:rsid w:val="00101D85"/>
    <w:rsid w:val="00102168"/>
    <w:rsid w:val="001024E4"/>
    <w:rsid w:val="00105E25"/>
    <w:rsid w:val="0010628D"/>
    <w:rsid w:val="0011114E"/>
    <w:rsid w:val="0011427C"/>
    <w:rsid w:val="00143830"/>
    <w:rsid w:val="00153C68"/>
    <w:rsid w:val="00163B57"/>
    <w:rsid w:val="001701C4"/>
    <w:rsid w:val="00170DFA"/>
    <w:rsid w:val="001761BC"/>
    <w:rsid w:val="00187725"/>
    <w:rsid w:val="001949BC"/>
    <w:rsid w:val="001B143A"/>
    <w:rsid w:val="001C7535"/>
    <w:rsid w:val="001D7197"/>
    <w:rsid w:val="001E0855"/>
    <w:rsid w:val="001E22B5"/>
    <w:rsid w:val="001F6E9E"/>
    <w:rsid w:val="002009DC"/>
    <w:rsid w:val="00204683"/>
    <w:rsid w:val="00217FE7"/>
    <w:rsid w:val="00220BE0"/>
    <w:rsid w:val="00225C76"/>
    <w:rsid w:val="002341E6"/>
    <w:rsid w:val="002648DF"/>
    <w:rsid w:val="0027545E"/>
    <w:rsid w:val="00291723"/>
    <w:rsid w:val="002A1B71"/>
    <w:rsid w:val="002A56B4"/>
    <w:rsid w:val="002A79AA"/>
    <w:rsid w:val="002B009F"/>
    <w:rsid w:val="002B6E48"/>
    <w:rsid w:val="002C4053"/>
    <w:rsid w:val="002C581C"/>
    <w:rsid w:val="002C5BD1"/>
    <w:rsid w:val="002D07F9"/>
    <w:rsid w:val="003045E6"/>
    <w:rsid w:val="0031237F"/>
    <w:rsid w:val="00327926"/>
    <w:rsid w:val="00334557"/>
    <w:rsid w:val="0035577B"/>
    <w:rsid w:val="003605DE"/>
    <w:rsid w:val="00366A98"/>
    <w:rsid w:val="00366DDB"/>
    <w:rsid w:val="003679C4"/>
    <w:rsid w:val="00374F2A"/>
    <w:rsid w:val="003759BE"/>
    <w:rsid w:val="0038157E"/>
    <w:rsid w:val="00382961"/>
    <w:rsid w:val="00386767"/>
    <w:rsid w:val="0039587B"/>
    <w:rsid w:val="003A3E7A"/>
    <w:rsid w:val="003A7B93"/>
    <w:rsid w:val="003C42C6"/>
    <w:rsid w:val="003C5D47"/>
    <w:rsid w:val="003C762F"/>
    <w:rsid w:val="003D150C"/>
    <w:rsid w:val="003E31B8"/>
    <w:rsid w:val="004038E8"/>
    <w:rsid w:val="00407151"/>
    <w:rsid w:val="004139A8"/>
    <w:rsid w:val="0041526B"/>
    <w:rsid w:val="00422DC4"/>
    <w:rsid w:val="004236E7"/>
    <w:rsid w:val="0043265F"/>
    <w:rsid w:val="00434361"/>
    <w:rsid w:val="00437568"/>
    <w:rsid w:val="004607B4"/>
    <w:rsid w:val="00462749"/>
    <w:rsid w:val="00465F3A"/>
    <w:rsid w:val="00477D7A"/>
    <w:rsid w:val="00483298"/>
    <w:rsid w:val="004939CC"/>
    <w:rsid w:val="004A19C6"/>
    <w:rsid w:val="004B5573"/>
    <w:rsid w:val="004C2361"/>
    <w:rsid w:val="004C2CF9"/>
    <w:rsid w:val="004C5CAB"/>
    <w:rsid w:val="004D1361"/>
    <w:rsid w:val="004D6A69"/>
    <w:rsid w:val="004E6D75"/>
    <w:rsid w:val="005118C4"/>
    <w:rsid w:val="00512926"/>
    <w:rsid w:val="005135A3"/>
    <w:rsid w:val="00514763"/>
    <w:rsid w:val="005169C8"/>
    <w:rsid w:val="00524CF1"/>
    <w:rsid w:val="00537FB9"/>
    <w:rsid w:val="00545DCE"/>
    <w:rsid w:val="00550FFA"/>
    <w:rsid w:val="00555314"/>
    <w:rsid w:val="00557CAF"/>
    <w:rsid w:val="00562F76"/>
    <w:rsid w:val="00563CBD"/>
    <w:rsid w:val="00571106"/>
    <w:rsid w:val="00580936"/>
    <w:rsid w:val="00581BA7"/>
    <w:rsid w:val="00583CB7"/>
    <w:rsid w:val="005A4E8F"/>
    <w:rsid w:val="005A6A82"/>
    <w:rsid w:val="005A7AFC"/>
    <w:rsid w:val="005C3152"/>
    <w:rsid w:val="005C575D"/>
    <w:rsid w:val="005C5D08"/>
    <w:rsid w:val="005D1116"/>
    <w:rsid w:val="005D2A68"/>
    <w:rsid w:val="005F44BD"/>
    <w:rsid w:val="005F57AA"/>
    <w:rsid w:val="006176B9"/>
    <w:rsid w:val="006232C8"/>
    <w:rsid w:val="00627B83"/>
    <w:rsid w:val="0064102E"/>
    <w:rsid w:val="00661680"/>
    <w:rsid w:val="00661968"/>
    <w:rsid w:val="00671CB8"/>
    <w:rsid w:val="006907D9"/>
    <w:rsid w:val="006907F1"/>
    <w:rsid w:val="006A1187"/>
    <w:rsid w:val="006B330D"/>
    <w:rsid w:val="006B4080"/>
    <w:rsid w:val="006E6EE6"/>
    <w:rsid w:val="006F3D1B"/>
    <w:rsid w:val="00704472"/>
    <w:rsid w:val="00715336"/>
    <w:rsid w:val="007221FB"/>
    <w:rsid w:val="0073072F"/>
    <w:rsid w:val="00736A6E"/>
    <w:rsid w:val="007559F4"/>
    <w:rsid w:val="00773D2B"/>
    <w:rsid w:val="00785DC9"/>
    <w:rsid w:val="00787566"/>
    <w:rsid w:val="00793E53"/>
    <w:rsid w:val="00794419"/>
    <w:rsid w:val="007B0780"/>
    <w:rsid w:val="007B37CF"/>
    <w:rsid w:val="007B7262"/>
    <w:rsid w:val="007E42BF"/>
    <w:rsid w:val="007F4CC6"/>
    <w:rsid w:val="00801BC4"/>
    <w:rsid w:val="00807974"/>
    <w:rsid w:val="008102F2"/>
    <w:rsid w:val="00811595"/>
    <w:rsid w:val="00823454"/>
    <w:rsid w:val="00836628"/>
    <w:rsid w:val="00841AE5"/>
    <w:rsid w:val="008449BE"/>
    <w:rsid w:val="00847AA0"/>
    <w:rsid w:val="00867AC8"/>
    <w:rsid w:val="00875B57"/>
    <w:rsid w:val="008837E6"/>
    <w:rsid w:val="00897D9D"/>
    <w:rsid w:val="008A0100"/>
    <w:rsid w:val="008A0F0F"/>
    <w:rsid w:val="008A2CF2"/>
    <w:rsid w:val="008C0AC7"/>
    <w:rsid w:val="008C55D2"/>
    <w:rsid w:val="008D045F"/>
    <w:rsid w:val="008D64A5"/>
    <w:rsid w:val="008E5C7B"/>
    <w:rsid w:val="00907C54"/>
    <w:rsid w:val="009125F6"/>
    <w:rsid w:val="00914CDF"/>
    <w:rsid w:val="00920163"/>
    <w:rsid w:val="00921AA0"/>
    <w:rsid w:val="00922500"/>
    <w:rsid w:val="00935BC8"/>
    <w:rsid w:val="00951C75"/>
    <w:rsid w:val="00954BFE"/>
    <w:rsid w:val="00962C23"/>
    <w:rsid w:val="00994009"/>
    <w:rsid w:val="009A6760"/>
    <w:rsid w:val="009B6148"/>
    <w:rsid w:val="009D22A0"/>
    <w:rsid w:val="009E73B2"/>
    <w:rsid w:val="009F6858"/>
    <w:rsid w:val="00A1544B"/>
    <w:rsid w:val="00A3001D"/>
    <w:rsid w:val="00A369D7"/>
    <w:rsid w:val="00A445FD"/>
    <w:rsid w:val="00A4701C"/>
    <w:rsid w:val="00A561F9"/>
    <w:rsid w:val="00A85B7B"/>
    <w:rsid w:val="00A903E5"/>
    <w:rsid w:val="00A94080"/>
    <w:rsid w:val="00AB06D3"/>
    <w:rsid w:val="00AB2419"/>
    <w:rsid w:val="00AB3573"/>
    <w:rsid w:val="00AB67E4"/>
    <w:rsid w:val="00AC7840"/>
    <w:rsid w:val="00AD68D0"/>
    <w:rsid w:val="00AF76C0"/>
    <w:rsid w:val="00B10B4A"/>
    <w:rsid w:val="00B16AB4"/>
    <w:rsid w:val="00B309FB"/>
    <w:rsid w:val="00B35304"/>
    <w:rsid w:val="00B44963"/>
    <w:rsid w:val="00B51309"/>
    <w:rsid w:val="00B544D8"/>
    <w:rsid w:val="00B57EF5"/>
    <w:rsid w:val="00B614E8"/>
    <w:rsid w:val="00B6576D"/>
    <w:rsid w:val="00B737E2"/>
    <w:rsid w:val="00B94C26"/>
    <w:rsid w:val="00BA3868"/>
    <w:rsid w:val="00BC2EB3"/>
    <w:rsid w:val="00BD1BA9"/>
    <w:rsid w:val="00BE4C01"/>
    <w:rsid w:val="00C04ED4"/>
    <w:rsid w:val="00C075BB"/>
    <w:rsid w:val="00C15BE2"/>
    <w:rsid w:val="00C21657"/>
    <w:rsid w:val="00C348CC"/>
    <w:rsid w:val="00C47D0B"/>
    <w:rsid w:val="00C55CE5"/>
    <w:rsid w:val="00C855D1"/>
    <w:rsid w:val="00C86B1E"/>
    <w:rsid w:val="00C872B7"/>
    <w:rsid w:val="00C913CF"/>
    <w:rsid w:val="00CB21AD"/>
    <w:rsid w:val="00CB6D91"/>
    <w:rsid w:val="00CC51CE"/>
    <w:rsid w:val="00CE1BAC"/>
    <w:rsid w:val="00CE1D8C"/>
    <w:rsid w:val="00CF67AC"/>
    <w:rsid w:val="00D12951"/>
    <w:rsid w:val="00D14025"/>
    <w:rsid w:val="00D14CBA"/>
    <w:rsid w:val="00D2334B"/>
    <w:rsid w:val="00D2769B"/>
    <w:rsid w:val="00D309DF"/>
    <w:rsid w:val="00D53D01"/>
    <w:rsid w:val="00D656BB"/>
    <w:rsid w:val="00D74013"/>
    <w:rsid w:val="00D8500A"/>
    <w:rsid w:val="00D91E17"/>
    <w:rsid w:val="00D933BE"/>
    <w:rsid w:val="00D94549"/>
    <w:rsid w:val="00DB360D"/>
    <w:rsid w:val="00DD0980"/>
    <w:rsid w:val="00DE1186"/>
    <w:rsid w:val="00DE4AAB"/>
    <w:rsid w:val="00DF32B6"/>
    <w:rsid w:val="00DF4DEF"/>
    <w:rsid w:val="00DF5264"/>
    <w:rsid w:val="00E159B9"/>
    <w:rsid w:val="00E35A08"/>
    <w:rsid w:val="00E4111D"/>
    <w:rsid w:val="00E50212"/>
    <w:rsid w:val="00E7303F"/>
    <w:rsid w:val="00E841E6"/>
    <w:rsid w:val="00E845AB"/>
    <w:rsid w:val="00E865FB"/>
    <w:rsid w:val="00EA0B61"/>
    <w:rsid w:val="00EB4270"/>
    <w:rsid w:val="00EB6CFD"/>
    <w:rsid w:val="00ED17AB"/>
    <w:rsid w:val="00ED2456"/>
    <w:rsid w:val="00ED43D2"/>
    <w:rsid w:val="00EF0755"/>
    <w:rsid w:val="00F01AFE"/>
    <w:rsid w:val="00F03E58"/>
    <w:rsid w:val="00F121B1"/>
    <w:rsid w:val="00F21DFA"/>
    <w:rsid w:val="00F22FCF"/>
    <w:rsid w:val="00F27E78"/>
    <w:rsid w:val="00F302BC"/>
    <w:rsid w:val="00F30976"/>
    <w:rsid w:val="00F4234F"/>
    <w:rsid w:val="00F61481"/>
    <w:rsid w:val="00F673DE"/>
    <w:rsid w:val="00F75C82"/>
    <w:rsid w:val="00F7703D"/>
    <w:rsid w:val="00F8198F"/>
    <w:rsid w:val="00F8219F"/>
    <w:rsid w:val="00F93C94"/>
    <w:rsid w:val="00F95CB7"/>
    <w:rsid w:val="00FA3CEC"/>
    <w:rsid w:val="00FA713D"/>
    <w:rsid w:val="00FA7FF4"/>
    <w:rsid w:val="00FC3FFD"/>
    <w:rsid w:val="00FC4922"/>
    <w:rsid w:val="00FC6ECF"/>
    <w:rsid w:val="00FD057E"/>
    <w:rsid w:val="00FF0918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A638"/>
  <w15:docId w15:val="{64AB2BA7-F7D8-4E26-95E4-B9FD88DF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493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ED4"/>
    <w:pPr>
      <w:ind w:left="720"/>
      <w:contextualSpacing/>
    </w:pPr>
  </w:style>
  <w:style w:type="table" w:styleId="TableGrid">
    <w:name w:val="Table Grid"/>
    <w:basedOn w:val="TableNormal"/>
    <w:uiPriority w:val="59"/>
    <w:rsid w:val="00483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939CC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4939CC"/>
    <w:rPr>
      <w:color w:val="0000FF"/>
      <w:u w:val="single"/>
    </w:rPr>
  </w:style>
  <w:style w:type="character" w:customStyle="1" w:styleId="st">
    <w:name w:val="st"/>
    <w:basedOn w:val="DefaultParagraphFont"/>
    <w:rsid w:val="004038E8"/>
  </w:style>
  <w:style w:type="character" w:customStyle="1" w:styleId="moreinfo">
    <w:name w:val="more_info"/>
    <w:basedOn w:val="DefaultParagraphFont"/>
    <w:rsid w:val="00D74013"/>
  </w:style>
  <w:style w:type="character" w:customStyle="1" w:styleId="Heading1Char">
    <w:name w:val="Heading 1 Char"/>
    <w:basedOn w:val="DefaultParagraphFont"/>
    <w:link w:val="Heading1"/>
    <w:uiPriority w:val="9"/>
    <w:rsid w:val="00A47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5D111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B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81B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A2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maj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vne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2218</Words>
  <Characters>1265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Eiropas Kustība Latvijā</dc:creator>
  <cp:lastModifiedBy>Andris Gobins</cp:lastModifiedBy>
  <cp:revision>10</cp:revision>
  <cp:lastPrinted>2015-09-15T10:27:00Z</cp:lastPrinted>
  <dcterms:created xsi:type="dcterms:W3CDTF">2017-03-27T10:59:00Z</dcterms:created>
  <dcterms:modified xsi:type="dcterms:W3CDTF">2017-03-31T08:38:00Z</dcterms:modified>
</cp:coreProperties>
</file>